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6A666F5C" w:rsidR="00651D0C" w:rsidRPr="00ED3908" w:rsidRDefault="00847E62">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847E62">
        <w:rPr>
          <w:rFonts w:asciiTheme="majorEastAsia" w:eastAsiaTheme="majorEastAsia" w:hAnsiTheme="majorEastAsia"/>
          <w:b/>
          <w:bCs/>
          <w:color w:val="333333"/>
          <w:sz w:val="44"/>
          <w:szCs w:val="44"/>
          <w:shd w:val="clear" w:color="auto" w:fill="FFFFFF"/>
        </w:rPr>
        <w:t>宁波市轨道交通建设管理办</w:t>
      </w:r>
      <w:r w:rsidR="00651D0C" w:rsidRPr="00ED3908">
        <w:rPr>
          <w:rFonts w:asciiTheme="majorEastAsia" w:eastAsiaTheme="majorEastAsia" w:hAnsiTheme="majorEastAsia"/>
          <w:b/>
          <w:bCs/>
          <w:color w:val="333333"/>
          <w:sz w:val="44"/>
          <w:szCs w:val="44"/>
          <w:shd w:val="clear" w:color="auto" w:fill="FFFFFF"/>
        </w:rPr>
        <w:t>法</w:t>
      </w:r>
    </w:p>
    <w:p w14:paraId="0EA8B8B4" w14:textId="451EB086"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847E62" w:rsidRPr="00847E62">
        <w:rPr>
          <w:rFonts w:ascii="楷体_GB2312" w:eastAsia="楷体_GB2312" w:hAnsi="楷体_GB2312" w:cs="楷体_GB2312" w:hint="eastAsia"/>
          <w:color w:val="333333"/>
          <w:sz w:val="32"/>
          <w:szCs w:val="32"/>
          <w:shd w:val="clear" w:color="auto" w:fill="FFFFFF"/>
        </w:rPr>
        <w:t>2012年8月17日宁波市人民政府令第198号公布 自2012年9月20日起施行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74DBFA03" w14:textId="77777777" w:rsidR="00847E62" w:rsidRDefault="00847E62" w:rsidP="00847E62">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　总　则</w:t>
      </w:r>
    </w:p>
    <w:p w14:paraId="36133914" w14:textId="00ECFE6A"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p>
    <w:p w14:paraId="1A819500"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为了加强轨道交通建设管理，保障轨道交通安全，根据有关法律、法规规定，结合本市实际，制定本办法。</w:t>
      </w:r>
    </w:p>
    <w:p w14:paraId="783DE794"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本市行政区域内轨道交通的规划、建设、综合开发及其管理活动，适用本办法。</w:t>
      </w:r>
    </w:p>
    <w:p w14:paraId="79EA1D03"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轨道交通属于服务社会的重大公益性交通基础设施。</w:t>
      </w:r>
    </w:p>
    <w:p w14:paraId="2567ECDC"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轨道交通建设遵循政府主导、政策扶持、统筹规划和优先安排的原则。</w:t>
      </w:r>
    </w:p>
    <w:p w14:paraId="1EF675A3"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市人民政府设立的轨道交通议事协调机构负责统筹协调轨道交通建设重大事项。</w:t>
      </w:r>
    </w:p>
    <w:p w14:paraId="700BAD27"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市城市管理行政主管部门是本市轨道交通建设行政主管部门，负责组织实施本办法。</w:t>
      </w:r>
    </w:p>
    <w:p w14:paraId="0AFEA130"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市发展和改革行政主管部门负责本市轨道交通建设规划编制、项目可行性研究论证和项目初步设计审查。</w:t>
      </w:r>
    </w:p>
    <w:p w14:paraId="657A7731"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市规划行政主管部门负责本市轨道交通线网规划编制、轨道交通线网控制性详细规划编制和有关监督管理工作。</w:t>
      </w:r>
    </w:p>
    <w:p w14:paraId="263B7AF4"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市交通运输行政主管部门负责轨道交通运营的监督管理工作。</w:t>
      </w:r>
    </w:p>
    <w:p w14:paraId="52E8A88C"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轨道交通沿线县（市）区人民政府，建设、国土资源、财政、公安、安全生产、环境保护、人民防空、水利等部门按照各自职责共同做好轨道交通建设的监督管理工作。</w:t>
      </w:r>
    </w:p>
    <w:p w14:paraId="4296EEC2"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市人民政府确定的轨道交通建设单位负责轨道交通及其用地范围内综合开发项目的投资、建设和运营。</w:t>
      </w:r>
    </w:p>
    <w:p w14:paraId="33525188"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市人民政府设立轨道交通建设专项资金。轨道交通建设专项资金的具体管理办法由市人民政府另行制定。</w:t>
      </w:r>
    </w:p>
    <w:p w14:paraId="780EAC10"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65EBE3F6" w14:textId="77777777"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第二章　规　划</w:t>
      </w:r>
    </w:p>
    <w:p w14:paraId="259541D7"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6A0B970A"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轨道交通规划主要包括轨道交通线网规划、轨道交通线网控制性详细规划和轨道交通建设规划。</w:t>
      </w:r>
    </w:p>
    <w:p w14:paraId="59AE54D7"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经批准的轨道交通规划不得随意变更；确需变更的，应当按照规定的程序报批。</w:t>
      </w:r>
    </w:p>
    <w:p w14:paraId="0FF99FC3"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市规划行政主管部门应当会同市城市管理行政主管部门编制轨道交通线网规划和轨道交通线网控制性详细规划，报市人民政府批准后实施。</w:t>
      </w:r>
    </w:p>
    <w:p w14:paraId="7672C5A4"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轨道交通线网规划应当符合国民经济和社会发展规划，与铁路、公路、民航、客运枢纽、公共交通、水利、地下空间、人防等规划相衔接，按照规定的程序报批后实施，并纳入城市总体规划。</w:t>
      </w:r>
    </w:p>
    <w:p w14:paraId="2C15218F"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市发展和改革行政主管部门应当会同市规划行政主管部门等部门编制轨道交通建设规划，经市人民政府审核后按照规定的程序报国务院审批。</w:t>
      </w:r>
    </w:p>
    <w:p w14:paraId="41B543E4"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轨道交通建设规划应当符合国民经济和社会发展规划、城市总体规划和轨道交通线网规划。</w:t>
      </w:r>
    </w:p>
    <w:p w14:paraId="61FA4C9B"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规划行政主管部门应当按照国家有关规定、城乡规划、轨道交通线网规划和轨道交通建设规划的要求，对轨道交通建设进行规划管理和监督检查。</w:t>
      </w:r>
    </w:p>
    <w:p w14:paraId="5A59BAC9"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轨道交通建设应当根据城乡规划、轨道交通线网规划和轨道交通建设规划的要求，结合预留客流量、乘客换乘需要</w:t>
      </w:r>
      <w:r>
        <w:rPr>
          <w:rFonts w:ascii="仿宋" w:eastAsia="仿宋" w:hAnsi="仿宋" w:hint="eastAsia"/>
          <w:color w:val="333333"/>
          <w:sz w:val="32"/>
          <w:szCs w:val="32"/>
        </w:rPr>
        <w:lastRenderedPageBreak/>
        <w:t>和用地条件，预留轨道交通车辆段及停车场、变电站、控制中心等轨道交通配套设施用地和换乘枢纽、公交车站、机动车和非机动车停车场、公共厕所、无障碍设施等公用设施用地。</w:t>
      </w:r>
    </w:p>
    <w:p w14:paraId="3F5FA11D"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在审批需要与轨道交通出入口、风亭和冷却塔等辅助设施连接的其他建设工程的规划时，市规划行政主管部门应当提出有关预留与轨道交通相连接的空间规划设计要求。</w:t>
      </w:r>
    </w:p>
    <w:p w14:paraId="52B4A52F"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7731D922" w14:textId="77777777"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第三章　建　设</w:t>
      </w:r>
    </w:p>
    <w:p w14:paraId="4E63DE1E"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684D0CF9"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本市建立轨道交通土地专项储备制度。</w:t>
      </w:r>
    </w:p>
    <w:p w14:paraId="6EF791C2"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国土资源行政主管部门应当按照国家有关规定、轨道交通线网规划和轨道交通建设规划，对轨道交通沿线土地利用进行控制。</w:t>
      </w:r>
    </w:p>
    <w:p w14:paraId="2A9FAF7F"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国土资源行政主管部门应当将轨道交通、轨道交通配套设施以及相关公用设施建设用地一并纳入轨道交通建设用地的土地征</w:t>
      </w:r>
    </w:p>
    <w:p w14:paraId="4B1C63E4"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收范围，并协调办理轨道交通建设用地出让、划拨手续。</w:t>
      </w:r>
    </w:p>
    <w:p w14:paraId="1B3109FB"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第十二条</w:t>
      </w:r>
      <w:r>
        <w:rPr>
          <w:rFonts w:ascii="仿宋" w:eastAsia="仿宋" w:hAnsi="仿宋" w:hint="eastAsia"/>
          <w:color w:val="333333"/>
          <w:sz w:val="32"/>
          <w:szCs w:val="32"/>
        </w:rPr>
        <w:t xml:space="preserve">　轨道交通建设单位应当通过划拨或者出让方式取得轨道交通建设用地使用权并按有关规定向国土资源行政主管部门办理登记手续。</w:t>
      </w:r>
    </w:p>
    <w:p w14:paraId="4358A818"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轨道交通建设用地，未经法定程序调整，不得改变用途。</w:t>
      </w:r>
    </w:p>
    <w:p w14:paraId="3B356641"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轨道交通建设使用地下空间和地上空间，相邻的建筑物、构筑物和土地的所有权人、使用权人应当提供便利。</w:t>
      </w:r>
    </w:p>
    <w:p w14:paraId="0AA094AC"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轨道交通建设应当依照法律、法规，按照国家标准和规范，执行基本建设程序。</w:t>
      </w:r>
    </w:p>
    <w:p w14:paraId="4D7441C8"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轨道交通建设项目的勘察、设计、施工、监理、第三方监测、设备供应等，应当依照法律、法规、技术标准和规范，并符合保护周围建筑物、构筑物以及其他相关设施的规定。</w:t>
      </w:r>
    </w:p>
    <w:p w14:paraId="000C7173"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对轨道交通建设技术中还没有制定国家标准、行业标准和地方标准的，轨道交通建设单位可以拟定轨道交通建设技术的企业标准，报市城市管理主管部门备案后实施。</w:t>
      </w:r>
    </w:p>
    <w:p w14:paraId="7868E971"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轨道交通建设单位应当明确安全质量职责，对勘察、设计、施工、监理、第三方监测、设备供应等单位实施安全质量履约管理。</w:t>
      </w:r>
    </w:p>
    <w:p w14:paraId="6BD09BBF"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第十七条</w:t>
      </w:r>
      <w:r>
        <w:rPr>
          <w:rFonts w:ascii="仿宋" w:eastAsia="仿宋" w:hAnsi="仿宋" w:hint="eastAsia"/>
          <w:color w:val="333333"/>
          <w:sz w:val="32"/>
          <w:szCs w:val="32"/>
        </w:rPr>
        <w:t xml:space="preserve">　轨道交通建设单位应当按照国家《城市轨道交通地下工程建设风险管理规范》的要求对轨道交通项目进行安全质量风险评估。</w:t>
      </w:r>
    </w:p>
    <w:p w14:paraId="3CF3D411"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轨道交通建设单位应当委托工程监测单位和质量检测单位进行第三方监测和质量检测。</w:t>
      </w:r>
    </w:p>
    <w:p w14:paraId="711B5662"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承担轨道交通建设勘察、设计、施工、监理、监测等业务的企业，应当依照国家和省有关规定事先向城市管理或者建设行政主管部门进行备案登记。</w:t>
      </w:r>
    </w:p>
    <w:p w14:paraId="40CDCF02"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市城市管理行政主管部门和其他有关部门应当按照《宁波市企业信用监管和社会责任评价办法》等信用管理规定，将本办法第十九条所指的备案登记行为纳入企业信用管理和企业社会责任评价体系，并实现管理信息的共享。</w:t>
      </w:r>
    </w:p>
    <w:p w14:paraId="328B5EA9"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轨道交通建设单位应当按照国家有关规定将轨道交通施工图设计文件送具有相应资质的施工图审查机构审查。</w:t>
      </w:r>
    </w:p>
    <w:p w14:paraId="27BB588E"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施工图设计文件未经审查或者审查不合格的，不得使用。</w:t>
      </w:r>
    </w:p>
    <w:p w14:paraId="59410D49"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施工图审查机构应当在审查完成后15日内将审查情况报市城市管理行政主管部门备案。</w:t>
      </w:r>
    </w:p>
    <w:p w14:paraId="2FA79139"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施工过程中涉及工程建设强制性标准、地基基础和主体结构安全性等内容需要修改的，轨道交通建设单位应当将修改后的施工图设计文件送原施工图审查机构审查。</w:t>
      </w:r>
    </w:p>
    <w:p w14:paraId="4A7AFA2B"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有关行政主管部门、管线和其他设施所有权人应当向轨道交通建设单位如实提供涉及轨道交通建设的管线和其他设施的档案资料。</w:t>
      </w:r>
    </w:p>
    <w:p w14:paraId="6ADC21E1"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因轨道交通建设需要，轨道交通建设单位可以拆除或迁移公园等市政公用设施；轨道交通施工完成后，由轨道交通建设单位恢复原状或者迁建。涉及管线迁移的，管线产权单位应当予以配合，协商确定管线迁移方案；按照原标准迁移的，管线迁移费用由轨道交通建设单位承担；提高标准或者增加管线容量、数量的，提高或者增加部分的费用由管线产权单位承担。</w:t>
      </w:r>
    </w:p>
    <w:p w14:paraId="1A0CA1E9"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仿宋" w:eastAsia="仿宋" w:hAnsi="仿宋" w:hint="eastAsia"/>
          <w:color w:val="333333"/>
          <w:sz w:val="32"/>
          <w:szCs w:val="32"/>
        </w:rPr>
        <w:t xml:space="preserve">　轨道交通建设单位应当在轨道交通建设项目初步设计前对轨道交通建设项目沿线周边已有建筑物、构筑物和城市基础设施等进行调查和记录。</w:t>
      </w:r>
    </w:p>
    <w:p w14:paraId="71AC3425"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仿宋" w:eastAsia="仿宋" w:hAnsi="仿宋" w:hint="eastAsia"/>
          <w:color w:val="333333"/>
          <w:sz w:val="32"/>
          <w:szCs w:val="32"/>
        </w:rPr>
        <w:t xml:space="preserve">　轨道交通沿线周边的建筑物、构筑物安全对比鉴定应当依照有关法律、法规规定在轨道交通工程开工前组织实施。</w:t>
      </w:r>
    </w:p>
    <w:p w14:paraId="76595ABC"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安全对比鉴定结果应当作为评估轨道交通建设对建筑物、构筑物安全状况影响的依据。</w:t>
      </w:r>
    </w:p>
    <w:p w14:paraId="5CFAE2B2"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轨道交通建设单位应当按照技术规定，采取安全防范措施，避免和减少对轨道交通周边已有建筑物、构筑物和城市基础设施的影响。造成损害的，应当依法赔偿。</w:t>
      </w:r>
    </w:p>
    <w:p w14:paraId="1FD79F02"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轨道交通施工单位应当遵守文明施工的有关规定，按照环境影响评价文件的要求，在施工现场采取有效措施，防止或者减少粉尘、废水、废气、固体废物、噪声、振动和施工照明对周边环境的污染和危害。</w:t>
      </w:r>
    </w:p>
    <w:p w14:paraId="2DFBC920"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轨道交通工程建设完工后，由轨道交通建设单位组织有关单位对建设工程进行初步验收；经初步验收合格的，可以进行试运营；试运营合格的，按照国家有关规定进行竣工验收。</w:t>
      </w:r>
    </w:p>
    <w:p w14:paraId="2F5F8959"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7F24E210" w14:textId="77777777"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第四章　综合开发</w:t>
      </w:r>
    </w:p>
    <w:p w14:paraId="45016BA2"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628B0E60"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仿宋" w:eastAsia="仿宋" w:hAnsi="仿宋" w:hint="eastAsia"/>
          <w:color w:val="333333"/>
          <w:sz w:val="32"/>
          <w:szCs w:val="32"/>
        </w:rPr>
        <w:t xml:space="preserve">　经市人民政府批准，轨道交通建设单位在轨道交通建设、开发规划用地范围内享有土地、广告和空间资源等综合开发经营权。</w:t>
      </w:r>
    </w:p>
    <w:p w14:paraId="0BB361A1"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第二十九条</w:t>
      </w:r>
      <w:r>
        <w:rPr>
          <w:rFonts w:ascii="仿宋" w:eastAsia="仿宋" w:hAnsi="仿宋" w:hint="eastAsia"/>
          <w:color w:val="333333"/>
          <w:sz w:val="32"/>
          <w:szCs w:val="32"/>
        </w:rPr>
        <w:t xml:space="preserve">　经市人民政府批准，轨道交通建设单位可以一并从事与轨道交通设施结构上不可分割、工程上应当统一实施的有关综合开发建设。</w:t>
      </w:r>
    </w:p>
    <w:p w14:paraId="7BB50E6A"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仿宋" w:eastAsia="仿宋" w:hAnsi="仿宋" w:hint="eastAsia"/>
          <w:color w:val="333333"/>
          <w:sz w:val="32"/>
          <w:szCs w:val="32"/>
        </w:rPr>
        <w:t xml:space="preserve">　在轨道交通建设用地征收红线范围内与轨道交通设施结构上不可分割、工程上应当统一实施的综合开发项目的建设用地使用权和在轨道交通控制保护区范围内结合轨道交通综合开发项目的建设用地使用权，由国土资源行政主管部门依法办理土地划拨或者出让手续。</w:t>
      </w:r>
    </w:p>
    <w:p w14:paraId="6BF6E9CC"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仿宋" w:eastAsia="仿宋" w:hAnsi="仿宋" w:hint="eastAsia"/>
          <w:color w:val="333333"/>
          <w:sz w:val="32"/>
          <w:szCs w:val="32"/>
        </w:rPr>
        <w:t xml:space="preserve">　通道、出入口、风亭和冷却塔等轨道交通配套设施需要与周边物业结合建设的，由轨道交通建设单位与周边物业所有权人或者使用权人协商解决，并应当征得有关行政主管部门同意。</w:t>
      </w:r>
    </w:p>
    <w:p w14:paraId="7A742986"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5569E19B" w14:textId="77777777"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第五章　保护区管理</w:t>
      </w:r>
    </w:p>
    <w:p w14:paraId="5A00CEC0"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6C08749D"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仿宋" w:eastAsia="仿宋" w:hAnsi="仿宋" w:hint="eastAsia"/>
          <w:color w:val="333333"/>
          <w:sz w:val="32"/>
          <w:szCs w:val="32"/>
        </w:rPr>
        <w:t xml:space="preserve">　对轨道交通规划确定且尚未实施的未建线路，设立规划控制范围。</w:t>
      </w:r>
    </w:p>
    <w:p w14:paraId="1B6E9536"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未建线路的规划控制范围由轨道交通线网规划、轨道交通线网控制性详细规划和轨道交通建设规划确定。</w:t>
      </w:r>
    </w:p>
    <w:p w14:paraId="7C5EFAED"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第三十三条</w:t>
      </w:r>
      <w:r>
        <w:rPr>
          <w:rFonts w:ascii="仿宋" w:eastAsia="仿宋" w:hAnsi="仿宋" w:hint="eastAsia"/>
          <w:color w:val="333333"/>
          <w:sz w:val="32"/>
          <w:szCs w:val="32"/>
        </w:rPr>
        <w:t xml:space="preserve">　对轨道交通规划确定的在建线路和已建线路，根据安全保护需要设立控制保护区。</w:t>
      </w:r>
    </w:p>
    <w:p w14:paraId="62CD4CC8"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仿宋" w:eastAsia="仿宋" w:hAnsi="仿宋" w:hint="eastAsia"/>
          <w:color w:val="333333"/>
          <w:sz w:val="32"/>
          <w:szCs w:val="32"/>
        </w:rPr>
        <w:t xml:space="preserve">　在建线路和已建线路控制保护区范围如下：</w:t>
      </w:r>
    </w:p>
    <w:p w14:paraId="79078A11"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（一）地下车站和隧道结构外边线外侧50米内；</w:t>
      </w:r>
    </w:p>
    <w:p w14:paraId="3148A038"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（二）地面车站和地面线路、高架车站和高架线路结构外边线外侧30米内；</w:t>
      </w:r>
    </w:p>
    <w:p w14:paraId="4A374981"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（三）出入口、风亭、冷却塔、主变电所、残疾人直升电梯等建筑物、构筑物结构外边线和车辆段及停车场用地范围外侧10米内；</w:t>
      </w:r>
    </w:p>
    <w:p w14:paraId="460BA671"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（四）过江河、湖泊等水域的隧道结构外边线外侧100米内。</w:t>
      </w:r>
    </w:p>
    <w:p w14:paraId="47FD08F4"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仿宋" w:eastAsia="仿宋" w:hAnsi="仿宋" w:hint="eastAsia"/>
          <w:color w:val="333333"/>
          <w:sz w:val="32"/>
          <w:szCs w:val="32"/>
        </w:rPr>
        <w:t xml:space="preserve">　因地质条件、轨道交通规划调整或者其他特殊情况，需要变更规划控制范围和控制保护区范围的，由轨道交通建设单位提出变更方案，经市规划行政主管部门审核论证后，报市人民政府批准后公布。</w:t>
      </w:r>
    </w:p>
    <w:p w14:paraId="514D528E"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仿宋" w:eastAsia="仿宋" w:hAnsi="仿宋" w:hint="eastAsia"/>
          <w:color w:val="333333"/>
          <w:sz w:val="32"/>
          <w:szCs w:val="32"/>
        </w:rPr>
        <w:t xml:space="preserve">　未建线路规划控制范围和在建线路、已建线路控制保护区内从事下列活动，需要申请行政许可的，有关行政许可实施部门应当在依法作出行政许可前，书面征求轨道交通建设单位的意见；不需要申请行政许可的，施工单位或者个人应当在施工前，将有关施工情况书面告知轨道交通建设单位：</w:t>
      </w:r>
    </w:p>
    <w:p w14:paraId="1E64EA3A"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（一）新建、改建、扩建或者拆除建筑物和构筑物；</w:t>
      </w:r>
    </w:p>
    <w:p w14:paraId="207A8857"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（二）钻探、取土、地面堆卸载、基坑开挖、爆破、桩基础施工、顶进、灌浆、锚杆作业；</w:t>
      </w:r>
    </w:p>
    <w:p w14:paraId="17CD4035"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（三）新建塘坝、开挖河道和水渠、采石挖砂、打井取水；</w:t>
      </w:r>
    </w:p>
    <w:p w14:paraId="3824F97C"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（四）敷设管线或者设置跨线等架空作业；</w:t>
      </w:r>
    </w:p>
    <w:p w14:paraId="7D83E7C7"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（五）在过江河、湖泊等水域的隧道段疏浚作业；</w:t>
      </w:r>
    </w:p>
    <w:p w14:paraId="485FC669"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（六）经市城市管理行政主管部门认定的可能影响轨道交通建设的其他行为。</w:t>
      </w:r>
    </w:p>
    <w:p w14:paraId="1D4B9392"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单位接到书面征求意见后，应当在5个工作日内作出是否影响轨道交通安全的书面答复。对因深基坑开挖等施工作业是否影响轨道交通安全需要进一步论证的，轨道交通建设单位应当及时组织论证，并向有关行政许可实施部门报告。</w:t>
      </w:r>
    </w:p>
    <w:p w14:paraId="77691151"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第三十七条</w:t>
      </w:r>
      <w:r>
        <w:rPr>
          <w:rFonts w:ascii="仿宋" w:eastAsia="仿宋" w:hAnsi="仿宋" w:hint="eastAsia"/>
          <w:color w:val="333333"/>
          <w:sz w:val="32"/>
          <w:szCs w:val="32"/>
        </w:rPr>
        <w:t xml:space="preserve">　在控制保护区内从事本办法第三十六条第一款所列活动的，施工单位或者个人应当在施工前制定轨道交通设施保护方案，送轨道交通建设单位论证。经论证达到轨道交通设施保护要求的，方可施工。</w:t>
      </w:r>
    </w:p>
    <w:p w14:paraId="14CA42FE"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施工单位或者个人应当接受轨道交通建设单位的安全监测监控，并按有关规定落实安全保护措施，承担相应的费用。</w:t>
      </w:r>
    </w:p>
    <w:p w14:paraId="2E78D9C6"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第三十八条</w:t>
      </w:r>
      <w:r>
        <w:rPr>
          <w:rFonts w:ascii="仿宋" w:eastAsia="仿宋" w:hAnsi="仿宋" w:hint="eastAsia"/>
          <w:color w:val="333333"/>
          <w:sz w:val="32"/>
          <w:szCs w:val="32"/>
        </w:rPr>
        <w:t xml:space="preserve">　有关行政许可实施部门对本办法第三十六条第一款所列活动依法作出行政许可后，应当将行政许可实施情况告知市城市管理行政主管部门。</w:t>
      </w:r>
    </w:p>
    <w:p w14:paraId="6D47500D"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市规划行政主管部门和轨道交通建设单位应当向有关行政许可实施部门提供涉及轨道交通未建线路规划控制范围内和在建线路、已建线路控制保护区的相关资料，逐步实现与其他行政管理部门的信息共享。</w:t>
      </w:r>
    </w:p>
    <w:p w14:paraId="63D6FBBB"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第三十九条</w:t>
      </w:r>
      <w:r>
        <w:rPr>
          <w:rFonts w:ascii="仿宋" w:eastAsia="仿宋" w:hAnsi="仿宋" w:hint="eastAsia"/>
          <w:color w:val="333333"/>
          <w:sz w:val="32"/>
          <w:szCs w:val="32"/>
        </w:rPr>
        <w:t xml:space="preserve">　轨道交通控制保护区内，施工单位对可能影响轨道交通工程安全的建设工程施工作业，应当采取专项防护措施。轨道交通建设单位可以进入轨道交通控制保护区内的施工现场进行查看，发现施工作业可能影响轨道交通工程安全的，应当及时报告市城市管理行政主管部门。</w:t>
      </w:r>
    </w:p>
    <w:p w14:paraId="49841C42"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城市管理行政主管部门应当会同有关部门及时对轨道交通建设单位报告的情况进行核查，对核查中发现的安全事故隐患，应当责令立即排除；重大安全事故隐患排除前或者排除过程中无法保证安全的，按照国家有关规定责令从危险区域内撤出作业人员或者暂时停止施工。</w:t>
      </w:r>
    </w:p>
    <w:p w14:paraId="6C3CFC52"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7AA8C8A7" w14:textId="77777777"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第六章　安全与应急管理</w:t>
      </w:r>
    </w:p>
    <w:p w14:paraId="38269A0B"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3BF056B6"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第四十条</w:t>
      </w:r>
      <w:r>
        <w:rPr>
          <w:rFonts w:ascii="仿宋" w:eastAsia="仿宋" w:hAnsi="仿宋" w:hint="eastAsia"/>
          <w:color w:val="333333"/>
          <w:sz w:val="32"/>
          <w:szCs w:val="32"/>
        </w:rPr>
        <w:t xml:space="preserve">　轨道交通建设单位应当依据有关法律、法规，按照安全管理技术标准和规范的要求，建立安全生产预警和应急协调机制，执行事故预防、报告和处理制度。</w:t>
      </w:r>
    </w:p>
    <w:p w14:paraId="0E3B5F3C"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第四十一条</w:t>
      </w:r>
      <w:r>
        <w:rPr>
          <w:rFonts w:ascii="仿宋" w:eastAsia="仿宋" w:hAnsi="仿宋" w:hint="eastAsia"/>
          <w:color w:val="333333"/>
          <w:sz w:val="32"/>
          <w:szCs w:val="32"/>
        </w:rPr>
        <w:t xml:space="preserve">　轨道交通建设项目在进行可行性研究时，应当对其安全生产条件进行论证和安全预评价；在项目初步设计时，应当委托有相应资质的设计单位对项目安全设施进行设计，编制安全专篇。</w:t>
      </w:r>
    </w:p>
    <w:p w14:paraId="16C12F7B"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轨道交通建设项目安全设施应当与主体工程同时设计、同时施工、同时投入生产和使用，安全设施竣工或者试运行完成后，应当对安全设施进行验收评价。</w:t>
      </w:r>
    </w:p>
    <w:p w14:paraId="0C473B62"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轨道交通建设项目的相关设计专篇、预评价报告、竣工验收评价报告以及竣工验收投入生产使用前的相关资料应当按照规定报送安全生产监督管理部门备案。</w:t>
      </w:r>
    </w:p>
    <w:p w14:paraId="23BDCCD6"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第四十二条</w:t>
      </w:r>
      <w:r>
        <w:rPr>
          <w:rFonts w:ascii="仿宋" w:eastAsia="仿宋" w:hAnsi="仿宋" w:hint="eastAsia"/>
          <w:color w:val="333333"/>
          <w:sz w:val="32"/>
          <w:szCs w:val="32"/>
        </w:rPr>
        <w:t xml:space="preserve">　两个以上施工单位在同一作业区域内进行施工，可能危及对方生产安全的，应当签订安全生产管理协议，明确各自的安全生产管理职责和应当采取的安全措施，并指定专职安全生产管理人员进行安全检查与协调。</w:t>
      </w:r>
    </w:p>
    <w:p w14:paraId="4367E3FE"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第四十三条</w:t>
      </w:r>
      <w:r>
        <w:rPr>
          <w:rFonts w:ascii="仿宋" w:eastAsia="仿宋" w:hAnsi="仿宋" w:hint="eastAsia"/>
          <w:color w:val="333333"/>
          <w:sz w:val="32"/>
          <w:szCs w:val="32"/>
        </w:rPr>
        <w:t xml:space="preserve">　市城市管理行政主管部门应当会同有关部门和有关单位制定轨道交通建设突发事件应急预案，报市人民政府批准后公布。</w:t>
      </w:r>
    </w:p>
    <w:p w14:paraId="03A24E3C"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轨道交通建设单位和施工单位应当分别制定应急预案并定期组织应急演练。</w:t>
      </w:r>
    </w:p>
    <w:p w14:paraId="04A007CD"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第四十四条</w:t>
      </w:r>
      <w:r>
        <w:rPr>
          <w:rFonts w:ascii="仿宋" w:eastAsia="仿宋" w:hAnsi="仿宋" w:hint="eastAsia"/>
          <w:color w:val="333333"/>
          <w:sz w:val="32"/>
          <w:szCs w:val="32"/>
        </w:rPr>
        <w:t xml:space="preserve">　轨道交通建设发生突发事件的，施工单位应当采取防止事故危害扩大的必要措施，并按规定向市城市管理行政主管部门和安全生产等有关部门报告。</w:t>
      </w:r>
    </w:p>
    <w:p w14:paraId="0A57F933"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市城市管理行政主管部门接到报告后，应当视情启动应急预案。</w:t>
      </w:r>
    </w:p>
    <w:p w14:paraId="6BFFD611"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50C44163" w14:textId="77777777"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第七章 法律责任</w:t>
      </w:r>
    </w:p>
    <w:p w14:paraId="140D4C82"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5D3CCD06"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第四十五条</w:t>
      </w:r>
      <w:r>
        <w:rPr>
          <w:rFonts w:ascii="仿宋" w:eastAsia="仿宋" w:hAnsi="仿宋" w:hint="eastAsia"/>
          <w:color w:val="333333"/>
          <w:sz w:val="32"/>
          <w:szCs w:val="32"/>
        </w:rPr>
        <w:t xml:space="preserve">　违反本办法规定的行为，法律、法规、规章已有处罚规定的，从其规定。</w:t>
      </w:r>
    </w:p>
    <w:p w14:paraId="0092490F"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第四十六条</w:t>
      </w:r>
      <w:r>
        <w:rPr>
          <w:rFonts w:ascii="仿宋" w:eastAsia="仿宋" w:hAnsi="仿宋" w:hint="eastAsia"/>
          <w:color w:val="333333"/>
          <w:sz w:val="32"/>
          <w:szCs w:val="32"/>
        </w:rPr>
        <w:t xml:space="preserve">　违反本办法规定，施工单位或者个人在经营活动中有下列行为之一的，由市城市管理行政主管部门责令改正，处以1万元以上5万元以下罚款；施工单位或者个人在非经营性</w:t>
      </w:r>
      <w:r>
        <w:rPr>
          <w:rFonts w:ascii="仿宋" w:eastAsia="仿宋" w:hAnsi="仿宋" w:hint="eastAsia"/>
          <w:color w:val="333333"/>
          <w:sz w:val="32"/>
          <w:szCs w:val="32"/>
        </w:rPr>
        <w:lastRenderedPageBreak/>
        <w:t>活动中有下列行为之一的，由市城市管理行政主管部门责令改正，处以500元以上2000元以下罚款：</w:t>
      </w:r>
    </w:p>
    <w:p w14:paraId="07096AD1"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（一）违反本办法第三十六条第一款规定，在施工作业前未将施工情况书面告知轨道交通建设单位的；</w:t>
      </w:r>
    </w:p>
    <w:p w14:paraId="0F538768"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（二）违反本办法第三十七条第一款规定，未在施工前制定轨道交通设施保护方案或者制定轨道交通设施保护方案后未送轨道交通建设单位论证的；</w:t>
      </w:r>
    </w:p>
    <w:p w14:paraId="127E5798"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（三）违反本办法第三十七条第二款规定，拒绝接受轨道交通建设单位对其实施安全监测监控的。</w:t>
      </w:r>
    </w:p>
    <w:p w14:paraId="13F323E5"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第四十七条</w:t>
      </w:r>
      <w:r>
        <w:rPr>
          <w:rFonts w:ascii="仿宋" w:eastAsia="仿宋" w:hAnsi="仿宋" w:hint="eastAsia"/>
          <w:color w:val="333333"/>
          <w:sz w:val="32"/>
          <w:szCs w:val="32"/>
        </w:rPr>
        <w:t xml:space="preserve">　有关行政主管部门、轨道交通建设单位及其工作人员在轨道交通管理过程中玩忽职守、滥用职权、徇私舞弊的，由其所在单位或者有关部门对直接负责的主管人员和其他直接责任人员依法给予行政处分；构成犯罪的，依法追究刑事责任。</w:t>
      </w:r>
    </w:p>
    <w:p w14:paraId="71B4D6D3"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41A261EA" w14:textId="77777777" w:rsidR="00847E62" w:rsidRDefault="00847E62" w:rsidP="00847E62">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第八章　附　则</w:t>
      </w:r>
    </w:p>
    <w:p w14:paraId="0D93169E"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p>
    <w:p w14:paraId="5ED75F3F"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第四十八条</w:t>
      </w:r>
      <w:r>
        <w:rPr>
          <w:rFonts w:ascii="仿宋" w:eastAsia="仿宋" w:hAnsi="仿宋" w:hint="eastAsia"/>
          <w:color w:val="333333"/>
          <w:sz w:val="32"/>
          <w:szCs w:val="32"/>
        </w:rPr>
        <w:t xml:space="preserve">　本办法所称轨道交通，是指地铁、轻轨等轨道公共客运系统。</w:t>
      </w:r>
    </w:p>
    <w:p w14:paraId="076DE867" w14:textId="77777777" w:rsidR="00847E62" w:rsidRDefault="00847E62" w:rsidP="00847E6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本办法所称轨道交通设施，是指轨道交通的轨道、隧道、高架线路（含桥梁）、车站（含出入口、通道、风亭）、车辆、设备、控制中心、变电站、机电系统和其他附属设施，以及为保障轨道交通运营而设置的相关设施。</w:t>
      </w:r>
    </w:p>
    <w:p w14:paraId="1E797C34" w14:textId="77777777" w:rsidR="00847E62" w:rsidRDefault="00847E62" w:rsidP="00847E6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第四十九条</w:t>
      </w:r>
      <w:r>
        <w:rPr>
          <w:rFonts w:ascii="仿宋" w:eastAsia="仿宋" w:hAnsi="仿宋" w:hint="eastAsia"/>
          <w:color w:val="333333"/>
          <w:sz w:val="32"/>
          <w:szCs w:val="32"/>
        </w:rPr>
        <w:t xml:space="preserve">　本办法自2012年9月20日起施行。</w:t>
      </w:r>
    </w:p>
    <w:p w14:paraId="295356A0" w14:textId="3192DDDB" w:rsidR="003E62A0" w:rsidRPr="00847E62"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847E6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D15DE" w14:textId="77777777" w:rsidR="002B6BE0" w:rsidRDefault="002B6BE0">
      <w:r>
        <w:separator/>
      </w:r>
    </w:p>
  </w:endnote>
  <w:endnote w:type="continuationSeparator" w:id="0">
    <w:p w14:paraId="29FE4642" w14:textId="77777777" w:rsidR="002B6BE0" w:rsidRDefault="002B6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59F52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58672" w14:textId="77777777" w:rsidR="002B6BE0" w:rsidRDefault="002B6BE0">
      <w:r>
        <w:separator/>
      </w:r>
    </w:p>
  </w:footnote>
  <w:footnote w:type="continuationSeparator" w:id="0">
    <w:p w14:paraId="42549849" w14:textId="77777777" w:rsidR="002B6BE0" w:rsidRDefault="002B6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1363E2"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0F03F4"/>
    <w:rsid w:val="001A2C75"/>
    <w:rsid w:val="002B6BE0"/>
    <w:rsid w:val="003E62A0"/>
    <w:rsid w:val="003F3B92"/>
    <w:rsid w:val="00553459"/>
    <w:rsid w:val="00651D0C"/>
    <w:rsid w:val="006B06D9"/>
    <w:rsid w:val="007F75B8"/>
    <w:rsid w:val="00847E62"/>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94586">
      <w:bodyDiv w:val="1"/>
      <w:marLeft w:val="0"/>
      <w:marRight w:val="0"/>
      <w:marTop w:val="0"/>
      <w:marBottom w:val="0"/>
      <w:divBdr>
        <w:top w:val="none" w:sz="0" w:space="0" w:color="auto"/>
        <w:left w:val="none" w:sz="0" w:space="0" w:color="auto"/>
        <w:bottom w:val="none" w:sz="0" w:space="0" w:color="auto"/>
        <w:right w:val="none" w:sz="0" w:space="0" w:color="auto"/>
      </w:divBdr>
      <w:divsChild>
        <w:div w:id="85464303">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12</cp:revision>
  <cp:lastPrinted>2021-09-22T01:19:00Z</cp:lastPrinted>
  <dcterms:created xsi:type="dcterms:W3CDTF">2021-09-09T02:41:00Z</dcterms:created>
  <dcterms:modified xsi:type="dcterms:W3CDTF">2021-12-09T08:21:00Z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